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3AD8" w14:textId="77777777" w:rsidR="003B1DDB" w:rsidRDefault="003B1DDB" w:rsidP="00E67B46">
      <w:pPr>
        <w:spacing w:after="0" w:line="240" w:lineRule="auto"/>
      </w:pPr>
      <w:r>
        <w:separator/>
      </w:r>
    </w:p>
  </w:endnote>
  <w:endnote w:type="continuationSeparator" w:id="0">
    <w:p w14:paraId="08DDF71F" w14:textId="77777777" w:rsidR="003B1DDB" w:rsidRDefault="003B1DDB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D0E" w14:textId="77777777" w:rsidR="003B1DDB" w:rsidRDefault="003B1DDB" w:rsidP="00E67B46">
      <w:pPr>
        <w:spacing w:after="0" w:line="240" w:lineRule="auto"/>
      </w:pPr>
      <w:r>
        <w:separator/>
      </w:r>
    </w:p>
  </w:footnote>
  <w:footnote w:type="continuationSeparator" w:id="0">
    <w:p w14:paraId="45EA4F01" w14:textId="77777777" w:rsidR="003B1DDB" w:rsidRDefault="003B1DDB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5C5AD83E" w:rsidR="00E67B46" w:rsidRPr="00C133D9" w:rsidRDefault="00C133D9" w:rsidP="00C133D9">
    <w:pPr>
      <w:pStyle w:val="Encabezado"/>
      <w:jc w:val="center"/>
    </w:pPr>
    <w:r w:rsidRPr="00C133D9">
      <w:rPr>
        <w:rFonts w:ascii="Arial" w:hAnsi="Arial" w:cs="Arial"/>
        <w:bCs/>
        <w:i/>
        <w:color w:val="202124"/>
        <w:shd w:val="clear" w:color="auto" w:fill="FFFFFF"/>
      </w:rPr>
      <w:t>“Año de la unidad, la paz y el desarrollo”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75B5"/>
    <w:rsid w:val="009B5CFB"/>
    <w:rsid w:val="00A041AA"/>
    <w:rsid w:val="00A72008"/>
    <w:rsid w:val="00A80159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Externo Logistica1</cp:lastModifiedBy>
  <cp:revision>10</cp:revision>
  <cp:lastPrinted>2020-02-17T20:07:00Z</cp:lastPrinted>
  <dcterms:created xsi:type="dcterms:W3CDTF">2022-01-21T18:05:00Z</dcterms:created>
  <dcterms:modified xsi:type="dcterms:W3CDTF">2023-07-19T17:03:00Z</dcterms:modified>
</cp:coreProperties>
</file>